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E4D7E2" w14:textId="19552A0D" w:rsidR="00CA6929" w:rsidRPr="00E46D3C" w:rsidRDefault="00CA6929" w:rsidP="00CA6929">
      <w:pPr>
        <w:pStyle w:val="En-tte"/>
        <w:jc w:val="center"/>
        <w:rPr>
          <w:b/>
        </w:rPr>
      </w:pPr>
      <w:r w:rsidRPr="00E46D3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6003959" wp14:editId="01A503E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495540" cy="624205"/>
                <wp:effectExtent l="0" t="2505075" r="0" b="2414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495540" cy="624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AD3B5" w14:textId="77777777" w:rsidR="00CA6929" w:rsidRDefault="00CA6929" w:rsidP="00CA69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DOCUMENT DE TRAVAIL - VERSION PROVISOIRE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0395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0;width:590.2pt;height:49.1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5A8AD3B5" w14:textId="77777777" w:rsidR="00CA6929" w:rsidRDefault="00CA6929" w:rsidP="00CA69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72"/>
                          <w:szCs w:val="72"/>
                        </w:rPr>
                        <w:t>DOCUMENT DE TRAVAIL - VERSION PROVISOIRE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D7A94">
        <w:rPr>
          <w:b/>
        </w:rPr>
        <w:t>Annexe 3</w:t>
      </w:r>
    </w:p>
    <w:p w14:paraId="353ACB13" w14:textId="77777777" w:rsidR="00CA6929" w:rsidRPr="00E46D3C" w:rsidRDefault="00CA6929" w:rsidP="00CA6929">
      <w:pPr>
        <w:pStyle w:val="En-tte"/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0" allowOverlap="1" wp14:anchorId="329325B5" wp14:editId="521A6F77">
            <wp:simplePos x="0" y="0"/>
            <wp:positionH relativeFrom="page">
              <wp:posOffset>3545205</wp:posOffset>
            </wp:positionH>
            <wp:positionV relativeFrom="page">
              <wp:posOffset>582930</wp:posOffset>
            </wp:positionV>
            <wp:extent cx="640080" cy="375920"/>
            <wp:effectExtent l="0" t="0" r="7620" b="5080"/>
            <wp:wrapTopAndBottom/>
            <wp:docPr id="1" name="Image 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D3C">
        <w:rPr>
          <w:b/>
        </w:rPr>
        <w:t>Modèle d’arrêté de reclassement</w:t>
      </w:r>
    </w:p>
    <w:p w14:paraId="2B8D66CE" w14:textId="77777777" w:rsidR="00E46D3C" w:rsidRDefault="00E46D3C">
      <w:pPr>
        <w:rPr>
          <w:rFonts w:ascii="Arial" w:hAnsi="Arial" w:cs="Arial"/>
        </w:rPr>
      </w:pPr>
    </w:p>
    <w:p w14:paraId="6AADAA93" w14:textId="77777777" w:rsidR="00E46D3C" w:rsidRPr="003E7518" w:rsidRDefault="00E46D3C" w:rsidP="00E46D3C">
      <w:pPr>
        <w:jc w:val="center"/>
        <w:rPr>
          <w:rFonts w:ascii="Arial" w:hAnsi="Arial" w:cs="Arial"/>
          <w:sz w:val="16"/>
          <w:szCs w:val="16"/>
        </w:rPr>
      </w:pPr>
      <w:r w:rsidRPr="00AE1E2B">
        <w:rPr>
          <w:rFonts w:ascii="Arial Rounded MT Bold" w:hAnsi="Arial Rounded MT Bold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Ministère de l'enseignement supérieur, de la recherche et de l’innovation</w:t>
      </w:r>
    </w:p>
    <w:p w14:paraId="2375BD05" w14:textId="77777777" w:rsidR="00E46D3C" w:rsidRPr="00AD1B1F" w:rsidRDefault="00E46D3C" w:rsidP="00E46D3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E46D3C" w:rsidRPr="00AD1B1F" w14:paraId="51A7A1A3" w14:textId="77777777" w:rsidTr="00EA2038">
        <w:trPr>
          <w:cantSplit/>
        </w:trPr>
        <w:tc>
          <w:tcPr>
            <w:tcW w:w="496" w:type="dxa"/>
          </w:tcPr>
          <w:p w14:paraId="76E126B4" w14:textId="77777777" w:rsidR="00E46D3C" w:rsidRPr="00F14E4C" w:rsidRDefault="00E46D3C" w:rsidP="00EA20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VU</w:t>
            </w:r>
          </w:p>
        </w:tc>
        <w:tc>
          <w:tcPr>
            <w:tcW w:w="9213" w:type="dxa"/>
          </w:tcPr>
          <w:p w14:paraId="3696C8F1" w14:textId="77777777" w:rsidR="00E46D3C" w:rsidRPr="00F14E4C" w:rsidRDefault="00E46D3C" w:rsidP="00EA2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le code général de la fonction publique ;</w:t>
            </w:r>
          </w:p>
        </w:tc>
      </w:tr>
      <w:tr w:rsidR="00E46D3C" w:rsidRPr="00AD1B1F" w14:paraId="44918B84" w14:textId="77777777" w:rsidTr="00EA2038">
        <w:trPr>
          <w:cantSplit/>
        </w:trPr>
        <w:tc>
          <w:tcPr>
            <w:tcW w:w="496" w:type="dxa"/>
          </w:tcPr>
          <w:p w14:paraId="26F0CD1F" w14:textId="77777777" w:rsidR="00E46D3C" w:rsidRPr="00F14E4C" w:rsidRDefault="00E46D3C" w:rsidP="00EA20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VU</w:t>
            </w:r>
          </w:p>
          <w:p w14:paraId="7EF9EF1B" w14:textId="77777777" w:rsidR="00E46D3C" w:rsidRPr="00F14E4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VU</w:t>
            </w:r>
          </w:p>
        </w:tc>
        <w:tc>
          <w:tcPr>
            <w:tcW w:w="9213" w:type="dxa"/>
          </w:tcPr>
          <w:p w14:paraId="5556DEA3" w14:textId="77777777" w:rsidR="00E46D3C" w:rsidRPr="00F14E4C" w:rsidRDefault="00E46D3C" w:rsidP="00EA2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4E4C">
              <w:rPr>
                <w:rFonts w:ascii="Arial" w:hAnsi="Arial" w:cs="Arial"/>
                <w:sz w:val="18"/>
                <w:szCs w:val="18"/>
              </w:rPr>
              <w:t>le</w:t>
            </w:r>
            <w:proofErr w:type="gramEnd"/>
            <w:r w:rsidRPr="00F14E4C">
              <w:rPr>
                <w:rFonts w:ascii="Arial" w:hAnsi="Arial" w:cs="Arial"/>
                <w:sz w:val="18"/>
                <w:szCs w:val="18"/>
              </w:rPr>
              <w:t xml:space="preserve"> code de l'éducation, notamment ses articles L. 952-1 et L. 952-6 ;</w:t>
            </w:r>
          </w:p>
          <w:p w14:paraId="00A7E890" w14:textId="77777777" w:rsidR="00E46D3C" w:rsidRPr="00F14E4C" w:rsidRDefault="00E46D3C" w:rsidP="00EA2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la loi n° 2020-1674 du 24 décembre 2020 de programmation de la recherche pour les années 2021 à 2030 et portant diverses dispositions relatives à la recherche et à l'enseignement supérieur, notamment son article 47 ;</w:t>
            </w:r>
          </w:p>
        </w:tc>
      </w:tr>
      <w:tr w:rsidR="00E46D3C" w:rsidRPr="00AD1B1F" w14:paraId="2692CB34" w14:textId="77777777" w:rsidTr="00EA2038">
        <w:trPr>
          <w:cantSplit/>
        </w:trPr>
        <w:tc>
          <w:tcPr>
            <w:tcW w:w="496" w:type="dxa"/>
          </w:tcPr>
          <w:p w14:paraId="1EA2316E" w14:textId="77777777" w:rsidR="00E46D3C" w:rsidRPr="00F14E4C" w:rsidRDefault="00E46D3C" w:rsidP="00EA20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VU</w:t>
            </w:r>
          </w:p>
        </w:tc>
        <w:tc>
          <w:tcPr>
            <w:tcW w:w="9213" w:type="dxa"/>
          </w:tcPr>
          <w:p w14:paraId="4F4F0C2C" w14:textId="77777777" w:rsidR="00E46D3C" w:rsidRPr="00F14E4C" w:rsidRDefault="00E46D3C" w:rsidP="00EA2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le décret n° 84-431 du 6 juin 1984 modifié fixant les dispositions statutaires communes applicables aux enseignants-chercheurs et portant statut particulier du corps des professeurs des universités et du corps des maîtres de conférences ;</w:t>
            </w:r>
          </w:p>
        </w:tc>
      </w:tr>
      <w:tr w:rsidR="00E46D3C" w:rsidRPr="00AD1B1F" w14:paraId="0F6540B7" w14:textId="77777777" w:rsidTr="00EA2038">
        <w:trPr>
          <w:cantSplit/>
          <w:trHeight w:val="3373"/>
        </w:trPr>
        <w:tc>
          <w:tcPr>
            <w:tcW w:w="496" w:type="dxa"/>
          </w:tcPr>
          <w:p w14:paraId="688A4DD9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VU</w:t>
            </w:r>
          </w:p>
          <w:p w14:paraId="1CD9745F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2219F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VU</w:t>
            </w:r>
          </w:p>
          <w:p w14:paraId="32E0CB0C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A4F9E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VU </w:t>
            </w:r>
          </w:p>
          <w:p w14:paraId="762D4C71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A888E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59304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[VU</w:t>
            </w:r>
          </w:p>
          <w:p w14:paraId="54D5DBB7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ADE76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VU </w:t>
            </w:r>
          </w:p>
          <w:p w14:paraId="58152CAF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600AEB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VU </w:t>
            </w:r>
          </w:p>
          <w:p w14:paraId="628FAEF0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3717A9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VU  </w:t>
            </w:r>
          </w:p>
          <w:p w14:paraId="05938C82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82101A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VU </w:t>
            </w:r>
          </w:p>
          <w:p w14:paraId="00B063C1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VU </w:t>
            </w:r>
          </w:p>
          <w:p w14:paraId="09EFA055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8E69FB7" w14:textId="77777777" w:rsidR="00E46D3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A15B8" w14:textId="77777777" w:rsidR="00E46D3C" w:rsidRPr="00F14E4C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9213" w:type="dxa"/>
          </w:tcPr>
          <w:p w14:paraId="16701B19" w14:textId="77777777" w:rsidR="00E46D3C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14E4C">
              <w:rPr>
                <w:rFonts w:ascii="Arial" w:hAnsi="Arial" w:cs="Arial"/>
                <w:sz w:val="18"/>
                <w:szCs w:val="18"/>
              </w:rPr>
              <w:t>le décret n° 2009-462 du 23 avril 2009 modifié relatif aux règles de classement des personnes nommées dans les corps d’enseignants-c</w:t>
            </w:r>
            <w:r>
              <w:rPr>
                <w:rFonts w:ascii="Arial" w:hAnsi="Arial" w:cs="Arial"/>
                <w:sz w:val="18"/>
                <w:szCs w:val="18"/>
              </w:rPr>
              <w:t>hercheurs des établissements pu</w:t>
            </w:r>
            <w:r w:rsidRPr="00F14E4C">
              <w:rPr>
                <w:rFonts w:ascii="Arial" w:hAnsi="Arial" w:cs="Arial"/>
                <w:sz w:val="18"/>
                <w:szCs w:val="18"/>
              </w:rPr>
              <w:t>blics d’enseignement supérieur et de recherche</w:t>
            </w:r>
            <w:r>
              <w:rPr>
                <w:rFonts w:ascii="Arial" w:hAnsi="Arial" w:cs="Arial"/>
                <w:sz w:val="18"/>
                <w:szCs w:val="18"/>
              </w:rPr>
              <w:t> ;                le décret n</w:t>
            </w:r>
            <w:r w:rsidRPr="00F14E4C">
              <w:rPr>
                <w:rFonts w:ascii="Arial" w:hAnsi="Arial" w:cs="Arial"/>
                <w:sz w:val="18"/>
                <w:szCs w:val="18"/>
              </w:rPr>
              <w:t>° 2013-305 du 10 avril 2013 relatif à l'échelonnement indiciaire applicable aux corps d'enseignants-chercheurs et personnels assimilés et à certains personnels de l'enseignement supérieur ;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le décret n</w:t>
            </w:r>
            <w:r w:rsidRPr="00F14E4C">
              <w:rPr>
                <w:rFonts w:ascii="Arial" w:hAnsi="Arial" w:cs="Arial"/>
                <w:sz w:val="18"/>
                <w:szCs w:val="18"/>
              </w:rPr>
              <w:t>°</w:t>
            </w:r>
            <w:r>
              <w:rPr>
                <w:rFonts w:ascii="Arial" w:hAnsi="Arial" w:cs="Arial"/>
                <w:sz w:val="18"/>
                <w:szCs w:val="18"/>
              </w:rPr>
              <w:t xml:space="preserve"> 2022-334 du 8 mars 2022 modifiant les </w:t>
            </w:r>
            <w:r w:rsidRPr="00F14E4C">
              <w:rPr>
                <w:rFonts w:ascii="Arial" w:hAnsi="Arial" w:cs="Arial"/>
                <w:sz w:val="18"/>
                <w:szCs w:val="18"/>
              </w:rPr>
              <w:t>règles de classement des personnes nommées dans les corps d’enseignants-c</w:t>
            </w:r>
            <w:r>
              <w:rPr>
                <w:rFonts w:ascii="Arial" w:hAnsi="Arial" w:cs="Arial"/>
                <w:sz w:val="18"/>
                <w:szCs w:val="18"/>
              </w:rPr>
              <w:t>hercheurs des établissements pu</w:t>
            </w:r>
            <w:r w:rsidRPr="00F14E4C">
              <w:rPr>
                <w:rFonts w:ascii="Arial" w:hAnsi="Arial" w:cs="Arial"/>
                <w:sz w:val="18"/>
                <w:szCs w:val="18"/>
              </w:rPr>
              <w:t>blics d’enseignement supérieur et de recherche</w:t>
            </w:r>
            <w:r>
              <w:rPr>
                <w:rFonts w:ascii="Arial" w:hAnsi="Arial" w:cs="Arial"/>
                <w:sz w:val="18"/>
                <w:szCs w:val="18"/>
              </w:rPr>
              <w:t xml:space="preserve"> relevant du ministre chargé de l’enseignement supérieur, </w:t>
            </w:r>
            <w:r w:rsidRPr="00F14E4C">
              <w:rPr>
                <w:rFonts w:ascii="Arial" w:hAnsi="Arial" w:cs="Arial"/>
                <w:sz w:val="18"/>
                <w:szCs w:val="18"/>
              </w:rPr>
              <w:t>notamment s</w:t>
            </w:r>
            <w:r>
              <w:rPr>
                <w:rFonts w:ascii="Arial" w:hAnsi="Arial" w:cs="Arial"/>
                <w:sz w:val="18"/>
                <w:szCs w:val="18"/>
              </w:rPr>
              <w:t xml:space="preserve">on article 8 ;                                                         </w:t>
            </w:r>
          </w:p>
          <w:p w14:paraId="65CC4D18" w14:textId="77777777" w:rsidR="00E46D3C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l’a</w:t>
            </w:r>
            <w:r w:rsidRPr="00C270E1">
              <w:rPr>
                <w:rFonts w:ascii="Arial" w:hAnsi="Arial" w:cs="Arial"/>
                <w:sz w:val="18"/>
                <w:szCs w:val="18"/>
              </w:rPr>
              <w:t>rrêté</w:t>
            </w:r>
            <w:proofErr w:type="gramEnd"/>
            <w:r w:rsidRPr="00C270E1">
              <w:rPr>
                <w:rFonts w:ascii="Arial" w:hAnsi="Arial" w:cs="Arial"/>
                <w:sz w:val="18"/>
                <w:szCs w:val="18"/>
              </w:rPr>
              <w:t xml:space="preserve"> du 15 juin 1992 fixant la liste des corps de fonctionnaires assimilés aux professeurs des universités et aux maîtres de conférences pour la désignation des membres du Conseil national des universités</w:t>
            </w:r>
            <w:r>
              <w:rPr>
                <w:rFonts w:ascii="Arial" w:hAnsi="Arial" w:cs="Arial"/>
                <w:sz w:val="18"/>
                <w:szCs w:val="18"/>
              </w:rPr>
              <w:t> ;]</w:t>
            </w:r>
          </w:p>
          <w:p w14:paraId="69B688B4" w14:textId="77777777" w:rsidR="00E46D3C" w:rsidRPr="003E7518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E7518">
              <w:rPr>
                <w:rFonts w:ascii="Arial" w:hAnsi="Arial" w:cs="Arial"/>
                <w:sz w:val="18"/>
                <w:szCs w:val="18"/>
              </w:rPr>
              <w:t>l’arrêté</w:t>
            </w:r>
            <w:proofErr w:type="gramEnd"/>
            <w:r w:rsidRPr="003E7518">
              <w:rPr>
                <w:rFonts w:ascii="Arial" w:hAnsi="Arial" w:cs="Arial"/>
                <w:sz w:val="18"/>
                <w:szCs w:val="18"/>
              </w:rPr>
              <w:t xml:space="preserve"> ministériel du …………..portant nomination de M/Mme Prénom NOM dans le corps des maîtres de conférences à compter de la date de son installation au cours de l’ann</w:t>
            </w:r>
            <w:r>
              <w:rPr>
                <w:rFonts w:ascii="Arial" w:hAnsi="Arial" w:cs="Arial"/>
                <w:sz w:val="18"/>
                <w:szCs w:val="18"/>
              </w:rPr>
              <w:t>ée universitaire 20.. / 20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 ;</w:t>
            </w:r>
          </w:p>
          <w:p w14:paraId="1AA74C51" w14:textId="77777777" w:rsidR="00E46D3C" w:rsidRPr="00B23EB9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E7518">
              <w:rPr>
                <w:rFonts w:ascii="Arial" w:hAnsi="Arial" w:cs="Arial"/>
                <w:sz w:val="18"/>
                <w:szCs w:val="18"/>
              </w:rPr>
              <w:t>l’arrêté</w:t>
            </w:r>
            <w:proofErr w:type="gramEnd"/>
            <w:r w:rsidRPr="003E7518">
              <w:rPr>
                <w:rFonts w:ascii="Arial" w:hAnsi="Arial" w:cs="Arial"/>
                <w:sz w:val="18"/>
                <w:szCs w:val="18"/>
              </w:rPr>
              <w:t xml:space="preserve"> du ……….portant classement à l’échelon …. </w:t>
            </w:r>
            <w:proofErr w:type="gramStart"/>
            <w:r w:rsidRPr="003E7518">
              <w:rPr>
                <w:rFonts w:ascii="Arial" w:hAnsi="Arial" w:cs="Arial"/>
                <w:sz w:val="18"/>
                <w:szCs w:val="18"/>
              </w:rPr>
              <w:t>du</w:t>
            </w:r>
            <w:proofErr w:type="gramEnd"/>
            <w:r w:rsidRPr="003E7518">
              <w:rPr>
                <w:rFonts w:ascii="Arial" w:hAnsi="Arial" w:cs="Arial"/>
                <w:sz w:val="18"/>
                <w:szCs w:val="18"/>
              </w:rPr>
              <w:t xml:space="preserve"> grade de maître de conférences avec une ancienneté conservée de ………… à compter du ………de M/Mme Prénom NOM ;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l’arrêté du …….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portant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promotion au ……</w:t>
            </w:r>
            <w:r w:rsidRPr="003E751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échelon de la classe normale des maîtres de conférences 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</w:t>
            </w:r>
            <w:proofErr w:type="spellEnd"/>
            <w:r w:rsidRPr="00B23EB9">
              <w:rPr>
                <w:rFonts w:ascii="Arial" w:hAnsi="Arial" w:cs="Arial"/>
                <w:sz w:val="18"/>
                <w:szCs w:val="18"/>
              </w:rPr>
              <w:t xml:space="preserve"> l’intéressé(e)</w:t>
            </w:r>
            <w:r>
              <w:rPr>
                <w:rFonts w:ascii="Arial" w:hAnsi="Arial" w:cs="Arial"/>
                <w:sz w:val="18"/>
                <w:szCs w:val="18"/>
              </w:rPr>
              <w:t> ; (éventuellement si l’enseignant a eu une promotion depuis le 1</w:t>
            </w:r>
            <w:r w:rsidRPr="003E7518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 janvier 2021)                                 </w:t>
            </w:r>
            <w:r w:rsidRPr="00B23EB9">
              <w:rPr>
                <w:rFonts w:ascii="Arial" w:hAnsi="Arial" w:cs="Arial"/>
                <w:sz w:val="18"/>
                <w:szCs w:val="18"/>
              </w:rPr>
              <w:t>la demande de reclassement du 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..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présentée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par l’intéressé(e</w:t>
            </w:r>
            <w:r w:rsidRPr="00B23EB9">
              <w:rPr>
                <w:rFonts w:ascii="Arial" w:hAnsi="Arial" w:cs="Arial"/>
                <w:sz w:val="18"/>
                <w:szCs w:val="18"/>
              </w:rPr>
              <w:t>) ;</w:t>
            </w:r>
          </w:p>
          <w:p w14:paraId="1F277A9F" w14:textId="77777777" w:rsidR="00E46D3C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3EB9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B23EB9">
              <w:rPr>
                <w:rFonts w:ascii="Arial" w:hAnsi="Arial" w:cs="Arial"/>
                <w:sz w:val="18"/>
                <w:szCs w:val="18"/>
              </w:rPr>
              <w:t xml:space="preserve"> proposition du reclassement de l’université, en date du …..………. </w:t>
            </w:r>
            <w:proofErr w:type="gramStart"/>
            <w:r w:rsidRPr="00B23EB9">
              <w:rPr>
                <w:rFonts w:ascii="Arial" w:hAnsi="Arial" w:cs="Arial"/>
                <w:sz w:val="18"/>
                <w:szCs w:val="18"/>
              </w:rPr>
              <w:t>accepté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B23EB9">
              <w:rPr>
                <w:rFonts w:ascii="Arial" w:hAnsi="Arial" w:cs="Arial"/>
                <w:sz w:val="18"/>
                <w:szCs w:val="18"/>
              </w:rPr>
              <w:t xml:space="preserve"> par l’intéressé(e) ;</w:t>
            </w:r>
          </w:p>
          <w:p w14:paraId="4897EC45" w14:textId="77777777" w:rsidR="00E46D3C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74FE9FD" w14:textId="77777777" w:rsidR="00E46D3C" w:rsidRPr="00717111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111">
              <w:rPr>
                <w:rFonts w:ascii="Arial" w:hAnsi="Arial" w:cs="Arial"/>
                <w:sz w:val="18"/>
                <w:szCs w:val="18"/>
              </w:rPr>
              <w:t>Considérant qu’au 1er janvier 2021 (ou date de nomination si &gt; au 01/01/2021), M/Mme Prénom NOM, maître de conférences est classé(</w:t>
            </w:r>
            <w:proofErr w:type="gramStart"/>
            <w:r w:rsidRPr="00717111">
              <w:rPr>
                <w:rFonts w:ascii="Arial" w:hAnsi="Arial" w:cs="Arial"/>
                <w:sz w:val="18"/>
                <w:szCs w:val="18"/>
              </w:rPr>
              <w:t>e)  au</w:t>
            </w:r>
            <w:proofErr w:type="gramEnd"/>
            <w:r w:rsidRPr="00717111">
              <w:rPr>
                <w:rFonts w:ascii="Arial" w:hAnsi="Arial" w:cs="Arial"/>
                <w:sz w:val="18"/>
                <w:szCs w:val="18"/>
              </w:rPr>
              <w:t xml:space="preserve"> ….échelon de la classe normale avec une ancienneté conservée de …. ;</w:t>
            </w:r>
          </w:p>
          <w:p w14:paraId="1FD03700" w14:textId="77777777" w:rsidR="00E46D3C" w:rsidRPr="00717111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17111">
              <w:rPr>
                <w:rFonts w:ascii="Arial" w:hAnsi="Arial" w:cs="Arial"/>
                <w:sz w:val="18"/>
                <w:szCs w:val="18"/>
              </w:rPr>
              <w:t>Considérant qu’il convient de reclasser M/Mme Prénom NOM dans le grade de maître de conférences, classe normale conformément à l’article 47 de la loi n° 2020-1674 du 24 décembre 2020 précitée selon la proposition de reclassement du ……</w:t>
            </w:r>
            <w:proofErr w:type="gramStart"/>
            <w:r w:rsidRPr="00717111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717111">
              <w:rPr>
                <w:rFonts w:ascii="Arial" w:hAnsi="Arial" w:cs="Arial"/>
                <w:sz w:val="18"/>
                <w:szCs w:val="18"/>
              </w:rPr>
              <w:t xml:space="preserve"> ;.</w:t>
            </w:r>
          </w:p>
          <w:p w14:paraId="11DAB54C" w14:textId="77777777" w:rsidR="00E46D3C" w:rsidRDefault="00E46D3C" w:rsidP="00EA203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E69E43A" w14:textId="77777777" w:rsidR="00E46D3C" w:rsidRPr="00717111" w:rsidRDefault="00E46D3C" w:rsidP="00EA20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70766F" w14:textId="77777777" w:rsidR="00E46D3C" w:rsidRPr="00E46D3C" w:rsidRDefault="00E46D3C" w:rsidP="00E46D3C">
      <w:pPr>
        <w:pStyle w:val="Titre1"/>
        <w:spacing w:after="240"/>
        <w:jc w:val="center"/>
        <w:rPr>
          <w:rFonts w:ascii="Arial" w:hAnsi="Arial" w:cs="Arial"/>
          <w:spacing w:val="60"/>
          <w:sz w:val="24"/>
          <w:szCs w:val="24"/>
        </w:rPr>
      </w:pPr>
      <w:r w:rsidRPr="00E46D3C">
        <w:rPr>
          <w:rFonts w:ascii="Arial" w:hAnsi="Arial" w:cs="Arial"/>
          <w:spacing w:val="60"/>
          <w:sz w:val="24"/>
          <w:szCs w:val="24"/>
        </w:rPr>
        <w:t>ARRÊTE</w:t>
      </w:r>
    </w:p>
    <w:tbl>
      <w:tblPr>
        <w:tblW w:w="96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42"/>
      </w:tblGrid>
      <w:tr w:rsidR="00E46D3C" w:rsidRPr="00AD1B1F" w14:paraId="424A9B6B" w14:textId="77777777" w:rsidTr="00EA2038">
        <w:trPr>
          <w:cantSplit/>
        </w:trPr>
        <w:tc>
          <w:tcPr>
            <w:tcW w:w="1346" w:type="dxa"/>
          </w:tcPr>
          <w:p w14:paraId="077C64E2" w14:textId="77777777" w:rsidR="00E46D3C" w:rsidRPr="00E46D3C" w:rsidRDefault="00E46D3C" w:rsidP="00EA20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E46D3C">
              <w:rPr>
                <w:rFonts w:ascii="Arial" w:hAnsi="Arial" w:cs="Arial"/>
                <w:b/>
                <w:sz w:val="20"/>
                <w:szCs w:val="20"/>
              </w:rPr>
              <w:t>ARTICLE 1.-</w:t>
            </w:r>
          </w:p>
        </w:tc>
        <w:tc>
          <w:tcPr>
            <w:tcW w:w="8342" w:type="dxa"/>
          </w:tcPr>
          <w:p w14:paraId="4A36DC70" w14:textId="77777777" w:rsidR="00E46D3C" w:rsidRPr="00E46D3C" w:rsidRDefault="00E46D3C" w:rsidP="00EA2038">
            <w:pPr>
              <w:tabs>
                <w:tab w:val="left" w:pos="216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46D3C">
              <w:rPr>
                <w:rFonts w:ascii="Arial" w:hAnsi="Arial" w:cs="Arial"/>
                <w:sz w:val="20"/>
                <w:szCs w:val="20"/>
              </w:rPr>
              <w:t>A compter du 1</w:t>
            </w:r>
            <w:r w:rsidRPr="00E46D3C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46D3C">
              <w:rPr>
                <w:rFonts w:ascii="Arial" w:hAnsi="Arial" w:cs="Arial"/>
                <w:sz w:val="20"/>
                <w:szCs w:val="20"/>
              </w:rPr>
              <w:t xml:space="preserve"> janvier 2021</w:t>
            </w:r>
            <w:r w:rsidRPr="00E46D3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E46D3C">
              <w:rPr>
                <w:rFonts w:ascii="Arial" w:hAnsi="Arial" w:cs="Arial"/>
                <w:sz w:val="20"/>
                <w:szCs w:val="20"/>
              </w:rPr>
              <w:t>ou date de nomination si &gt; au 01/01/2021),</w:t>
            </w:r>
            <w:r w:rsidRPr="00E46D3C"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  <w:t xml:space="preserve"> </w:t>
            </w:r>
            <w:r w:rsidRPr="00E46D3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M/Mme Prénom NOM</w:t>
            </w:r>
            <w:r w:rsidRPr="00E46D3C">
              <w:rPr>
                <w:rFonts w:ascii="Arial" w:hAnsi="Arial" w:cs="Arial"/>
                <w:noProof/>
                <w:sz w:val="20"/>
                <w:szCs w:val="20"/>
              </w:rPr>
              <w:t xml:space="preserve"> est classée</w:t>
            </w:r>
            <w:r w:rsidRPr="00E46D3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(e)</w:t>
            </w:r>
            <w:r w:rsidRPr="00E46D3C">
              <w:rPr>
                <w:rFonts w:ascii="Arial" w:hAnsi="Arial" w:cs="Arial"/>
                <w:noProof/>
                <w:sz w:val="20"/>
                <w:szCs w:val="20"/>
              </w:rPr>
              <w:t>, au …..échelon de la classe normale des maîtres de conférences (IB…) avec une ancienneté conservée de …..</w:t>
            </w:r>
          </w:p>
          <w:p w14:paraId="35B38037" w14:textId="77777777" w:rsidR="00E46D3C" w:rsidRPr="00E46D3C" w:rsidRDefault="00E46D3C" w:rsidP="00EA2038">
            <w:pPr>
              <w:tabs>
                <w:tab w:val="left" w:pos="216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46D3C" w:rsidRPr="00AD1B1F" w14:paraId="089EE1DD" w14:textId="77777777" w:rsidTr="00EA2038">
        <w:trPr>
          <w:cantSplit/>
        </w:trPr>
        <w:tc>
          <w:tcPr>
            <w:tcW w:w="1346" w:type="dxa"/>
          </w:tcPr>
          <w:p w14:paraId="43391EC1" w14:textId="77777777" w:rsidR="00E46D3C" w:rsidRPr="00E46D3C" w:rsidRDefault="00E46D3C" w:rsidP="00EA20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E46D3C">
              <w:rPr>
                <w:rFonts w:ascii="Arial" w:hAnsi="Arial" w:cs="Arial"/>
                <w:b/>
                <w:sz w:val="20"/>
                <w:szCs w:val="20"/>
              </w:rPr>
              <w:t>ARTICLE 2.-</w:t>
            </w:r>
          </w:p>
          <w:p w14:paraId="015DA583" w14:textId="77777777" w:rsidR="00E46D3C" w:rsidRPr="00E46D3C" w:rsidRDefault="00E46D3C" w:rsidP="00EA20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34C70" w14:textId="77777777" w:rsidR="00E46D3C" w:rsidRPr="00E46D3C" w:rsidRDefault="00E46D3C" w:rsidP="00EA20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E46D3C">
              <w:rPr>
                <w:rFonts w:ascii="Arial" w:hAnsi="Arial" w:cs="Arial"/>
                <w:b/>
                <w:sz w:val="20"/>
                <w:szCs w:val="20"/>
              </w:rPr>
              <w:t>ARTICLE 3.-</w:t>
            </w:r>
          </w:p>
        </w:tc>
        <w:tc>
          <w:tcPr>
            <w:tcW w:w="8342" w:type="dxa"/>
          </w:tcPr>
          <w:p w14:paraId="13B820DC" w14:textId="77777777" w:rsidR="00E46D3C" w:rsidRPr="00E46D3C" w:rsidRDefault="00E46D3C" w:rsidP="00EA2038">
            <w:pPr>
              <w:tabs>
                <w:tab w:val="left" w:pos="216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46D3C">
              <w:rPr>
                <w:rFonts w:ascii="Arial" w:hAnsi="Arial" w:cs="Arial"/>
                <w:sz w:val="20"/>
                <w:szCs w:val="20"/>
              </w:rPr>
              <w:t>A compter du (date du changement d’échelon, suite au nouveau classement entre le 1</w:t>
            </w:r>
            <w:r w:rsidRPr="00E46D3C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E46D3C">
              <w:rPr>
                <w:rFonts w:ascii="Arial" w:hAnsi="Arial" w:cs="Arial"/>
                <w:sz w:val="20"/>
                <w:szCs w:val="20"/>
              </w:rPr>
              <w:t xml:space="preserve"> janvier 2021 et la date de l’arrêté), </w:t>
            </w:r>
            <w:r w:rsidRPr="00E46D3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M/Mme Prénom NOM</w:t>
            </w:r>
            <w:r w:rsidRPr="00E46D3C">
              <w:rPr>
                <w:rFonts w:ascii="Arial" w:hAnsi="Arial" w:cs="Arial"/>
                <w:noProof/>
                <w:sz w:val="20"/>
                <w:szCs w:val="20"/>
              </w:rPr>
              <w:t xml:space="preserve"> est classée</w:t>
            </w:r>
            <w:r w:rsidRPr="00E46D3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 xml:space="preserve"> (e)</w:t>
            </w:r>
            <w:r w:rsidRPr="00E46D3C">
              <w:rPr>
                <w:rFonts w:ascii="Arial" w:hAnsi="Arial" w:cs="Arial"/>
                <w:noProof/>
                <w:sz w:val="20"/>
                <w:szCs w:val="20"/>
              </w:rPr>
              <w:t>, au …..échelon de la classe normale des maîtres de conférences (IB…).</w:t>
            </w:r>
          </w:p>
          <w:p w14:paraId="19D1516E" w14:textId="77777777" w:rsidR="00E46D3C" w:rsidRPr="00E46D3C" w:rsidRDefault="00E46D3C" w:rsidP="00EA20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2DA851" w14:textId="77777777" w:rsidR="00E46D3C" w:rsidRPr="00E46D3C" w:rsidRDefault="00E46D3C" w:rsidP="00EA2038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D3C">
              <w:rPr>
                <w:rFonts w:ascii="Arial" w:hAnsi="Arial" w:cs="Arial"/>
                <w:sz w:val="20"/>
                <w:szCs w:val="20"/>
              </w:rPr>
              <w:t>Le directeur général des services est chargé de l'exécution du présent arrêté.</w:t>
            </w:r>
          </w:p>
        </w:tc>
      </w:tr>
      <w:tr w:rsidR="00E46D3C" w:rsidRPr="00AD1B1F" w14:paraId="6E176E28" w14:textId="77777777" w:rsidTr="00EA2038">
        <w:trPr>
          <w:cantSplit/>
        </w:trPr>
        <w:tc>
          <w:tcPr>
            <w:tcW w:w="1346" w:type="dxa"/>
          </w:tcPr>
          <w:p w14:paraId="524BA07B" w14:textId="77777777" w:rsidR="00E46D3C" w:rsidRPr="00E46D3C" w:rsidRDefault="00E46D3C" w:rsidP="00EA20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42" w:type="dxa"/>
          </w:tcPr>
          <w:p w14:paraId="3A5871ED" w14:textId="77777777" w:rsidR="00E46D3C" w:rsidRPr="00E46D3C" w:rsidRDefault="00E46D3C" w:rsidP="00EA2038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D3C" w:rsidRPr="00AD1B1F" w14:paraId="4EC3C364" w14:textId="77777777" w:rsidTr="00EA2038">
        <w:trPr>
          <w:cantSplit/>
        </w:trPr>
        <w:tc>
          <w:tcPr>
            <w:tcW w:w="1346" w:type="dxa"/>
          </w:tcPr>
          <w:p w14:paraId="13E9E54D" w14:textId="77777777" w:rsidR="00E46D3C" w:rsidRPr="00E46D3C" w:rsidRDefault="00E46D3C" w:rsidP="00EA203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E46D3C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342" w:type="dxa"/>
          </w:tcPr>
          <w:p w14:paraId="0F0E7CB0" w14:textId="77777777" w:rsidR="00E46D3C" w:rsidRPr="00E46D3C" w:rsidRDefault="00E46D3C" w:rsidP="00EA2038">
            <w:pPr>
              <w:spacing w:after="240"/>
              <w:ind w:left="54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D3C">
              <w:rPr>
                <w:rFonts w:ascii="Arial" w:hAnsi="Arial" w:cs="Arial"/>
                <w:sz w:val="20"/>
                <w:szCs w:val="20"/>
              </w:rPr>
              <w:t>Le président</w:t>
            </w:r>
          </w:p>
          <w:p w14:paraId="39D22AE1" w14:textId="77777777" w:rsidR="00E46D3C" w:rsidRPr="00E46D3C" w:rsidRDefault="00E46D3C" w:rsidP="00EA2038">
            <w:pPr>
              <w:spacing w:after="240"/>
              <w:ind w:left="54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D3C">
              <w:rPr>
                <w:rFonts w:ascii="Arial" w:hAnsi="Arial" w:cs="Arial"/>
                <w:sz w:val="20"/>
                <w:szCs w:val="20"/>
              </w:rPr>
              <w:t>ou le chef d’établissement</w:t>
            </w:r>
          </w:p>
        </w:tc>
      </w:tr>
    </w:tbl>
    <w:p w14:paraId="472BC25F" w14:textId="77777777" w:rsidR="00E46D3C" w:rsidRDefault="00E46D3C" w:rsidP="00E46D3C">
      <w:pPr>
        <w:rPr>
          <w:rFonts w:ascii="Arial" w:hAnsi="Arial" w:cs="Arial"/>
        </w:rPr>
      </w:pPr>
    </w:p>
    <w:p w14:paraId="74CC97B1" w14:textId="77777777" w:rsidR="00E46D3C" w:rsidRDefault="00E46D3C">
      <w:pPr>
        <w:spacing w:after="200" w:line="276" w:lineRule="auto"/>
        <w:rPr>
          <w:rFonts w:ascii="Arial" w:hAnsi="Arial" w:cs="Arial"/>
        </w:rPr>
        <w:sectPr w:rsidR="00E46D3C" w:rsidSect="00CA6929">
          <w:headerReference w:type="even" r:id="rId9"/>
          <w:headerReference w:type="default" r:id="rId10"/>
          <w:headerReference w:type="first" r:id="rId11"/>
          <w:pgSz w:w="11906" w:h="16838"/>
          <w:pgMar w:top="284" w:right="1417" w:bottom="0" w:left="1417" w:header="708" w:footer="708" w:gutter="0"/>
          <w:cols w:space="708"/>
          <w:docGrid w:linePitch="360"/>
        </w:sectPr>
      </w:pPr>
    </w:p>
    <w:p w14:paraId="67E451B1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60"/>
        <w:jc w:val="center"/>
        <w:rPr>
          <w:rFonts w:ascii="Arial" w:hAnsi="Arial" w:cs="Arial"/>
          <w:sz w:val="14"/>
          <w:szCs w:val="14"/>
        </w:rPr>
      </w:pPr>
      <w:r w:rsidRPr="00D14D7E">
        <w:rPr>
          <w:rFonts w:ascii="Arial" w:eastAsia="Calibri" w:hAnsi="Arial" w:cs="Arial"/>
          <w:b/>
          <w:sz w:val="14"/>
          <w:szCs w:val="14"/>
        </w:rPr>
        <w:lastRenderedPageBreak/>
        <w:t>Voies et délais de recours</w:t>
      </w:r>
    </w:p>
    <w:p w14:paraId="3D1EDED3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sz w:val="14"/>
          <w:szCs w:val="14"/>
        </w:rPr>
        <w:t>Si vous estimez devoir contester cette décision, vous pouvez former :</w:t>
      </w:r>
    </w:p>
    <w:p w14:paraId="6457113A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</w:tabs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sz w:val="14"/>
          <w:szCs w:val="14"/>
        </w:rPr>
        <w:t>-</w:t>
      </w:r>
      <w:r w:rsidRPr="00D14D7E">
        <w:rPr>
          <w:rFonts w:ascii="Arial" w:hAnsi="Arial" w:cs="Arial"/>
          <w:sz w:val="14"/>
          <w:szCs w:val="14"/>
        </w:rPr>
        <w:tab/>
        <w:t>soit un recours gracieux ou hiérarchique,</w:t>
      </w:r>
    </w:p>
    <w:p w14:paraId="7B3CD055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sz w:val="14"/>
          <w:szCs w:val="14"/>
        </w:rPr>
        <w:t>-</w:t>
      </w:r>
      <w:r w:rsidRPr="00D14D7E">
        <w:rPr>
          <w:rFonts w:ascii="Arial" w:hAnsi="Arial" w:cs="Arial"/>
          <w:sz w:val="14"/>
          <w:szCs w:val="14"/>
        </w:rPr>
        <w:tab/>
        <w:t>soit un recours contentieux devant la juridiction administrative compétente. Ce recours n’a pas d’effet suspensif.</w:t>
      </w:r>
    </w:p>
    <w:p w14:paraId="67114D27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sz w:val="14"/>
          <w:szCs w:val="14"/>
        </w:rPr>
        <w:t xml:space="preserve">Si vous avez d’abord exercé un recours gracieux ou hiérarchique dans un délai de 2 mois à compter de la notification de la présente décision, le délai pour former un recours contentieux est de 2 mois </w:t>
      </w:r>
      <w:r w:rsidRPr="00D14D7E">
        <w:rPr>
          <w:rFonts w:ascii="Arial" w:hAnsi="Arial" w:cs="Arial"/>
          <w:b/>
          <w:sz w:val="14"/>
          <w:szCs w:val="14"/>
        </w:rPr>
        <w:t>*</w:t>
      </w:r>
      <w:r w:rsidRPr="00D14D7E">
        <w:rPr>
          <w:rFonts w:ascii="Arial" w:hAnsi="Arial" w:cs="Arial"/>
          <w:sz w:val="14"/>
          <w:szCs w:val="14"/>
        </w:rPr>
        <w:t> :</w:t>
      </w:r>
    </w:p>
    <w:p w14:paraId="1DC9D02D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</w:tabs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sz w:val="14"/>
          <w:szCs w:val="14"/>
        </w:rPr>
        <w:tab/>
        <w:t>-</w:t>
      </w:r>
      <w:r w:rsidRPr="00D14D7E">
        <w:rPr>
          <w:rFonts w:ascii="Arial" w:hAnsi="Arial" w:cs="Arial"/>
          <w:sz w:val="14"/>
          <w:szCs w:val="14"/>
        </w:rPr>
        <w:tab/>
        <w:t>à compter de la notification de la décision explicite de rejet du recours gracieux ou hiérarchique ;</w:t>
      </w:r>
    </w:p>
    <w:p w14:paraId="6243FD40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284"/>
          <w:tab w:val="left" w:pos="567"/>
        </w:tabs>
        <w:ind w:left="567" w:hanging="567"/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sz w:val="14"/>
          <w:szCs w:val="14"/>
        </w:rPr>
        <w:tab/>
        <w:t>-</w:t>
      </w:r>
      <w:r w:rsidRPr="00D14D7E">
        <w:rPr>
          <w:rFonts w:ascii="Arial" w:hAnsi="Arial" w:cs="Arial"/>
          <w:sz w:val="14"/>
          <w:szCs w:val="14"/>
        </w:rPr>
        <w:tab/>
        <w:t>ou à compter de la date d’expiration du délai de réponse de 2 mois dont disposait l’administration en cas de décision implicite de rejet du recours gracieux ou hiérarchique.</w:t>
      </w:r>
    </w:p>
    <w:p w14:paraId="65577536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60"/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sz w:val="14"/>
          <w:szCs w:val="14"/>
        </w:rPr>
        <w:t>Dans les cas très exceptionnels où une décision explicite de rejet intervient dans un délai de 2 mois après la décision implicite</w:t>
      </w:r>
      <w:r w:rsidRPr="00D14D7E">
        <w:rPr>
          <w:rFonts w:ascii="Arial" w:hAnsi="Arial" w:cs="Arial"/>
          <w:sz w:val="14"/>
          <w:szCs w:val="14"/>
        </w:rPr>
        <w:br/>
        <w:t xml:space="preserve">– c'est-à-dire dans un délai de 4 mois à compter de la notification de la présente décision – vous disposez à nouveau d’un délai de 2 mois </w:t>
      </w:r>
      <w:r w:rsidRPr="00D14D7E">
        <w:rPr>
          <w:rFonts w:ascii="Arial" w:hAnsi="Arial" w:cs="Arial"/>
          <w:b/>
          <w:sz w:val="14"/>
          <w:szCs w:val="14"/>
        </w:rPr>
        <w:t>*</w:t>
      </w:r>
      <w:r w:rsidRPr="00D14D7E">
        <w:rPr>
          <w:rFonts w:ascii="Arial" w:hAnsi="Arial" w:cs="Arial"/>
          <w:sz w:val="14"/>
          <w:szCs w:val="14"/>
        </w:rPr>
        <w:t> à compter de la notification de cette décision explicite pour former un recours contentieux.</w:t>
      </w:r>
    </w:p>
    <w:p w14:paraId="67388736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60"/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b/>
          <w:sz w:val="14"/>
          <w:szCs w:val="14"/>
        </w:rPr>
        <w:t>*</w:t>
      </w:r>
      <w:r w:rsidRPr="00D14D7E">
        <w:rPr>
          <w:rFonts w:ascii="Arial" w:hAnsi="Arial" w:cs="Arial"/>
          <w:sz w:val="14"/>
          <w:szCs w:val="14"/>
        </w:rPr>
        <w:t> 4 mois pour les agents demeurant à l’étranger</w:t>
      </w:r>
    </w:p>
    <w:p w14:paraId="7EA80059" w14:textId="77777777" w:rsidR="00E46D3C" w:rsidRPr="00D14D7E" w:rsidRDefault="00E46D3C" w:rsidP="00E46D3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426"/>
        </w:tabs>
        <w:ind w:left="420" w:hanging="420"/>
        <w:jc w:val="both"/>
        <w:rPr>
          <w:rFonts w:ascii="Arial" w:hAnsi="Arial" w:cs="Arial"/>
          <w:sz w:val="14"/>
          <w:szCs w:val="14"/>
        </w:rPr>
      </w:pPr>
      <w:r w:rsidRPr="00D14D7E">
        <w:rPr>
          <w:rFonts w:ascii="Arial" w:hAnsi="Arial" w:cs="Arial"/>
          <w:b/>
          <w:sz w:val="14"/>
          <w:szCs w:val="14"/>
        </w:rPr>
        <w:lastRenderedPageBreak/>
        <w:t>NB :</w:t>
      </w:r>
      <w:r w:rsidRPr="00D14D7E">
        <w:rPr>
          <w:rFonts w:ascii="Arial" w:hAnsi="Arial" w:cs="Arial"/>
          <w:b/>
          <w:sz w:val="14"/>
          <w:szCs w:val="14"/>
        </w:rPr>
        <w:tab/>
      </w:r>
      <w:r w:rsidRPr="00D14D7E">
        <w:rPr>
          <w:rFonts w:ascii="Arial" w:hAnsi="Arial" w:cs="Arial"/>
          <w:b/>
          <w:sz w:val="14"/>
          <w:szCs w:val="14"/>
        </w:rPr>
        <w:tab/>
      </w:r>
      <w:r w:rsidRPr="00D14D7E">
        <w:rPr>
          <w:rFonts w:ascii="Arial" w:hAnsi="Arial" w:cs="Arial"/>
          <w:sz w:val="14"/>
          <w:szCs w:val="14"/>
        </w:rPr>
        <w:t>En application de l'article R*4 du code des pensions civiles et militaires de retraite, les énonciations de cet arrêté ne peuvent préjuger ni la reconnaissance effective du droit à pension, ni les modalités de liquidation de la pension, ces dernières n'étant déterminées que par l'arrêté de concession</w:t>
      </w:r>
    </w:p>
    <w:p w14:paraId="0E225F74" w14:textId="77777777" w:rsidR="00E46D3C" w:rsidRDefault="00E46D3C">
      <w:pPr>
        <w:spacing w:after="200" w:line="276" w:lineRule="auto"/>
        <w:rPr>
          <w:rFonts w:ascii="Arial" w:hAnsi="Arial" w:cs="Arial"/>
        </w:rPr>
      </w:pPr>
    </w:p>
    <w:p w14:paraId="57B4A833" w14:textId="77777777" w:rsidR="00E46D3C" w:rsidRPr="00E46D3C" w:rsidRDefault="00E46D3C">
      <w:pPr>
        <w:rPr>
          <w:rFonts w:ascii="Arial" w:hAnsi="Arial" w:cs="Arial"/>
        </w:rPr>
      </w:pPr>
    </w:p>
    <w:sectPr w:rsidR="00E46D3C" w:rsidRPr="00E46D3C" w:rsidSect="00E46D3C">
      <w:type w:val="continuous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F1530" w14:textId="77777777" w:rsidR="00862D11" w:rsidRDefault="00862D11" w:rsidP="00862D11">
      <w:r>
        <w:separator/>
      </w:r>
    </w:p>
  </w:endnote>
  <w:endnote w:type="continuationSeparator" w:id="0">
    <w:p w14:paraId="4B6E0001" w14:textId="77777777" w:rsidR="00862D11" w:rsidRDefault="00862D11" w:rsidP="0086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A5BE8" w14:textId="77777777" w:rsidR="00862D11" w:rsidRDefault="00862D11" w:rsidP="00862D11">
      <w:r>
        <w:separator/>
      </w:r>
    </w:p>
  </w:footnote>
  <w:footnote w:type="continuationSeparator" w:id="0">
    <w:p w14:paraId="6E768BE2" w14:textId="77777777" w:rsidR="00862D11" w:rsidRDefault="00862D11" w:rsidP="0086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67D3" w14:textId="77777777" w:rsidR="00862D11" w:rsidRDefault="00932AC9">
    <w:pPr>
      <w:pStyle w:val="En-tte"/>
    </w:pPr>
    <w:r>
      <w:rPr>
        <w:noProof/>
      </w:rPr>
      <w:pict w14:anchorId="7AEA81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0672" o:spid="_x0000_s2050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DOCUMENT DE TRAVAIL - VERSION 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2861" w14:textId="77777777" w:rsidR="00611269" w:rsidRDefault="00611269">
    <w:pPr>
      <w:pStyle w:val="En-tte"/>
    </w:pPr>
    <w:r>
      <w:t>DGRH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204E" w14:textId="77777777" w:rsidR="00862D11" w:rsidRDefault="00932AC9">
    <w:pPr>
      <w:pStyle w:val="En-tte"/>
    </w:pPr>
    <w:r>
      <w:rPr>
        <w:noProof/>
      </w:rPr>
      <w:pict w14:anchorId="1185F1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50671" o:spid="_x0000_s2049" type="#_x0000_t136" style="position:absolute;margin-left:0;margin-top:0;width:590.2pt;height:49.15pt;rotation:315;z-index:-251657216;mso-position-horizontal:center;mso-position-horizontal-relative:margin;mso-position-vertical:center;mso-position-vertical-relative:margin" o:allowincell="f" fillcolor="#7f7f7f [1612]" stroked="f">
          <v:textpath style="font-family:&quot;Calibri&quot;;font-size:1pt" string="DOCUMENT DE TRAVAIL - VERSION 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AD1"/>
    <w:multiLevelType w:val="hybridMultilevel"/>
    <w:tmpl w:val="EEC218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008A"/>
    <w:multiLevelType w:val="hybridMultilevel"/>
    <w:tmpl w:val="AA1A1FFC"/>
    <w:lvl w:ilvl="0" w:tplc="A546DD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6A6D85"/>
    <w:multiLevelType w:val="hybridMultilevel"/>
    <w:tmpl w:val="FEC442C6"/>
    <w:lvl w:ilvl="0" w:tplc="6CEE6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D0058"/>
    <w:multiLevelType w:val="hybridMultilevel"/>
    <w:tmpl w:val="DAE2C81C"/>
    <w:lvl w:ilvl="0" w:tplc="3DA8A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065A5"/>
    <w:multiLevelType w:val="hybridMultilevel"/>
    <w:tmpl w:val="B614CF46"/>
    <w:lvl w:ilvl="0" w:tplc="5DAA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E4BD9"/>
    <w:multiLevelType w:val="hybridMultilevel"/>
    <w:tmpl w:val="66BCBB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92431"/>
    <w:multiLevelType w:val="hybridMultilevel"/>
    <w:tmpl w:val="66BCBB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EA"/>
    <w:rsid w:val="000138A9"/>
    <w:rsid w:val="000177B2"/>
    <w:rsid w:val="000309AA"/>
    <w:rsid w:val="0006402D"/>
    <w:rsid w:val="000775F5"/>
    <w:rsid w:val="000A13EC"/>
    <w:rsid w:val="000C70D0"/>
    <w:rsid w:val="00125ED8"/>
    <w:rsid w:val="00132B15"/>
    <w:rsid w:val="00160BAE"/>
    <w:rsid w:val="00177621"/>
    <w:rsid w:val="00184EAE"/>
    <w:rsid w:val="001C4CBF"/>
    <w:rsid w:val="001D7A94"/>
    <w:rsid w:val="001E651B"/>
    <w:rsid w:val="001F188C"/>
    <w:rsid w:val="001F54EB"/>
    <w:rsid w:val="00213A5D"/>
    <w:rsid w:val="00231675"/>
    <w:rsid w:val="00240CC5"/>
    <w:rsid w:val="002441A5"/>
    <w:rsid w:val="002538F7"/>
    <w:rsid w:val="00261E53"/>
    <w:rsid w:val="00262541"/>
    <w:rsid w:val="002C4466"/>
    <w:rsid w:val="002E1E11"/>
    <w:rsid w:val="003220EB"/>
    <w:rsid w:val="00340894"/>
    <w:rsid w:val="00354701"/>
    <w:rsid w:val="00355ABB"/>
    <w:rsid w:val="00366EBC"/>
    <w:rsid w:val="0037084D"/>
    <w:rsid w:val="00371C6F"/>
    <w:rsid w:val="00374A58"/>
    <w:rsid w:val="0039506A"/>
    <w:rsid w:val="004012DF"/>
    <w:rsid w:val="00402262"/>
    <w:rsid w:val="004208F9"/>
    <w:rsid w:val="00425FFB"/>
    <w:rsid w:val="00434688"/>
    <w:rsid w:val="00435FC4"/>
    <w:rsid w:val="00455AD2"/>
    <w:rsid w:val="004640B8"/>
    <w:rsid w:val="00472D9E"/>
    <w:rsid w:val="004A4667"/>
    <w:rsid w:val="004D7033"/>
    <w:rsid w:val="00501A49"/>
    <w:rsid w:val="005111FC"/>
    <w:rsid w:val="005248CF"/>
    <w:rsid w:val="00537E5C"/>
    <w:rsid w:val="00550DAD"/>
    <w:rsid w:val="0056050C"/>
    <w:rsid w:val="00571E3B"/>
    <w:rsid w:val="005730EA"/>
    <w:rsid w:val="00581BA1"/>
    <w:rsid w:val="00585EC9"/>
    <w:rsid w:val="005A1DE1"/>
    <w:rsid w:val="005A41F8"/>
    <w:rsid w:val="005B377D"/>
    <w:rsid w:val="005E2BBD"/>
    <w:rsid w:val="00611269"/>
    <w:rsid w:val="006147E4"/>
    <w:rsid w:val="00666DEC"/>
    <w:rsid w:val="00694657"/>
    <w:rsid w:val="006D149F"/>
    <w:rsid w:val="006D6935"/>
    <w:rsid w:val="006E7CF1"/>
    <w:rsid w:val="0072421B"/>
    <w:rsid w:val="00733750"/>
    <w:rsid w:val="00753889"/>
    <w:rsid w:val="00756625"/>
    <w:rsid w:val="0076561C"/>
    <w:rsid w:val="00777A2F"/>
    <w:rsid w:val="00781954"/>
    <w:rsid w:val="007A2E2E"/>
    <w:rsid w:val="007E75DA"/>
    <w:rsid w:val="007F0725"/>
    <w:rsid w:val="00804814"/>
    <w:rsid w:val="00804F09"/>
    <w:rsid w:val="00826C2C"/>
    <w:rsid w:val="00842327"/>
    <w:rsid w:val="00862D11"/>
    <w:rsid w:val="0088416E"/>
    <w:rsid w:val="00885161"/>
    <w:rsid w:val="008B07C9"/>
    <w:rsid w:val="008C53CB"/>
    <w:rsid w:val="008E182B"/>
    <w:rsid w:val="0090072D"/>
    <w:rsid w:val="00932AC9"/>
    <w:rsid w:val="00960D0A"/>
    <w:rsid w:val="00962A55"/>
    <w:rsid w:val="00970658"/>
    <w:rsid w:val="009772CE"/>
    <w:rsid w:val="00981A17"/>
    <w:rsid w:val="009A5EFC"/>
    <w:rsid w:val="009A7E4D"/>
    <w:rsid w:val="009C3F4C"/>
    <w:rsid w:val="009D714C"/>
    <w:rsid w:val="009E36B4"/>
    <w:rsid w:val="009F63C9"/>
    <w:rsid w:val="00A02A43"/>
    <w:rsid w:val="00A039CF"/>
    <w:rsid w:val="00A2016E"/>
    <w:rsid w:val="00A22DD5"/>
    <w:rsid w:val="00A80549"/>
    <w:rsid w:val="00A87AE7"/>
    <w:rsid w:val="00A97670"/>
    <w:rsid w:val="00AE1872"/>
    <w:rsid w:val="00AE5904"/>
    <w:rsid w:val="00AF7870"/>
    <w:rsid w:val="00B35D52"/>
    <w:rsid w:val="00B40F1F"/>
    <w:rsid w:val="00B873C7"/>
    <w:rsid w:val="00B94244"/>
    <w:rsid w:val="00BC3CA5"/>
    <w:rsid w:val="00BE0FEF"/>
    <w:rsid w:val="00BE3230"/>
    <w:rsid w:val="00BE58D8"/>
    <w:rsid w:val="00C06B31"/>
    <w:rsid w:val="00C44B7D"/>
    <w:rsid w:val="00C8448D"/>
    <w:rsid w:val="00CA6929"/>
    <w:rsid w:val="00CB4990"/>
    <w:rsid w:val="00CD5331"/>
    <w:rsid w:val="00D55749"/>
    <w:rsid w:val="00D626D1"/>
    <w:rsid w:val="00D62F30"/>
    <w:rsid w:val="00D9650C"/>
    <w:rsid w:val="00DB357B"/>
    <w:rsid w:val="00DD55B4"/>
    <w:rsid w:val="00DD7864"/>
    <w:rsid w:val="00DE5FF4"/>
    <w:rsid w:val="00E20809"/>
    <w:rsid w:val="00E361F9"/>
    <w:rsid w:val="00E464BF"/>
    <w:rsid w:val="00E46D3C"/>
    <w:rsid w:val="00E938A6"/>
    <w:rsid w:val="00EA098D"/>
    <w:rsid w:val="00EB2B2E"/>
    <w:rsid w:val="00EB5241"/>
    <w:rsid w:val="00F2306F"/>
    <w:rsid w:val="00F658FD"/>
    <w:rsid w:val="00FC15E5"/>
    <w:rsid w:val="00FC22EF"/>
    <w:rsid w:val="00FC62A5"/>
    <w:rsid w:val="00FC677C"/>
    <w:rsid w:val="00FD52CB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005D8B"/>
  <w15:chartTrackingRefBased/>
  <w15:docId w15:val="{543D5DC8-7CCF-409C-A717-0B00150E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EA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5730EA"/>
    <w:pPr>
      <w:keepNext/>
      <w:spacing w:before="240" w:after="60" w:line="276" w:lineRule="auto"/>
      <w:outlineLvl w:val="0"/>
    </w:pPr>
    <w:rPr>
      <w:rFonts w:ascii="Calibri Light" w:hAnsi="Calibri Light" w:cs="Calibri Light"/>
      <w:b/>
      <w:bCs/>
      <w:kern w:val="3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6D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6D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30EA"/>
    <w:rPr>
      <w:rFonts w:ascii="Calibri Light" w:hAnsi="Calibri Light" w:cs="Calibri Light"/>
      <w:b/>
      <w:bCs/>
      <w:kern w:val="36"/>
      <w:sz w:val="32"/>
      <w:szCs w:val="32"/>
    </w:rPr>
  </w:style>
  <w:style w:type="paragraph" w:styleId="NormalWeb">
    <w:name w:val="Normal (Web)"/>
    <w:basedOn w:val="Normal"/>
    <w:uiPriority w:val="99"/>
    <w:unhideWhenUsed/>
    <w:rsid w:val="00D626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8448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B35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5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57B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5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57B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5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57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C44B7D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862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2D11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862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2D11"/>
    <w:rPr>
      <w:rFonts w:ascii="Calibri" w:hAnsi="Calibri" w:cs="Calibri"/>
    </w:rPr>
  </w:style>
  <w:style w:type="character" w:customStyle="1" w:styleId="Titre2Car">
    <w:name w:val="Titre 2 Car"/>
    <w:basedOn w:val="Policepardfaut"/>
    <w:link w:val="Titre2"/>
    <w:uiPriority w:val="9"/>
    <w:semiHidden/>
    <w:rsid w:val="00E46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46D3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info-maj">
    <w:name w:val="info-maj"/>
    <w:basedOn w:val="Normal"/>
    <w:rsid w:val="00E46D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ous-titre1">
    <w:name w:val="Sous-titre1"/>
    <w:basedOn w:val="Normal"/>
    <w:rsid w:val="00E46D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">
    <w:name w:val="info"/>
    <w:basedOn w:val="Normal"/>
    <w:rsid w:val="00E46D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st">
    <w:name w:val="test"/>
    <w:basedOn w:val="Normal"/>
    <w:rsid w:val="00E46D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8525-F903-402C-98D7-87AA91CB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4343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FERON</dc:creator>
  <cp:keywords/>
  <dc:description/>
  <cp:lastModifiedBy>FLORENCE FONTAINE</cp:lastModifiedBy>
  <cp:revision>2</cp:revision>
  <cp:lastPrinted>2022-05-30T10:36:00Z</cp:lastPrinted>
  <dcterms:created xsi:type="dcterms:W3CDTF">2022-05-30T11:50:00Z</dcterms:created>
  <dcterms:modified xsi:type="dcterms:W3CDTF">2022-05-30T11:50:00Z</dcterms:modified>
</cp:coreProperties>
</file>